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0"/>
        <w:ind w:left="41" w:right="0" w:firstLine="0"/>
        <w:jc w:val="left"/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  <w:t>Paper</w:t>
      </w:r>
      <w:r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  <w:t xml:space="preserve"> </w:t>
      </w:r>
      <w:r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  <w:t>Review</w:t>
      </w:r>
      <w:r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74295</wp:posOffset>
                </wp:positionV>
                <wp:extent cx="6619875" cy="952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9525">
                              <a:moveTo>
                                <a:pt x="66198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37.45pt;margin-top:5.85pt;height:0.75pt;width:521.25pt;mso-position-horizontal-relative:page;mso-wrap-distance-bottom:0pt;mso-wrap-distance-top:0pt;z-index:-15728640;mso-width-relative:page;mso-height-relative:page;" fillcolor="#EDEDED" filled="t" stroked="f" coordsize="6619875,9525" o:gfxdata="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y1RTWAAAACQEAAA8AAAAAAAAAAQAgAAAAIgAA&#10;AGRycy9kb3ducmV2LnhtbFBLAQIUABQAAAAIAIdO4kCYdz2HCgIAAJMEAAAOAAAAAAAAAAEAIAAA&#10;ACUBAABkcnMvZTJvRG9jLnhtbFBLBQYAAAAABgAGAFkBAAChBQAAAAA=&#10;" path="m6619874,9524l0,9524,0,0,6619874,0,66198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ascii="Arial" w:hAnsi="Microsoft Sans Serif" w:eastAsia="Microsoft Sans Serif" w:cs="Microsoft Sans Serif"/>
          <w:b/>
          <w:color w:val="333333"/>
          <w:w w:val="85"/>
          <w:sz w:val="28"/>
          <w:szCs w:val="28"/>
          <w:lang w:val="en-US" w:eastAsia="en-US" w:bidi="ar-SA"/>
        </w:rPr>
        <w:t>Title: MulTCIM: Digital Computing-in- Memory-Based Multimodal Transformer Accelerator With Attention-Token-Bit Hybrid Sparsity</w:t>
      </w:r>
    </w:p>
    <w:p>
      <w:pPr>
        <w:pStyle w:val="4"/>
        <w:spacing w:before="2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89535</wp:posOffset>
                </wp:positionV>
                <wp:extent cx="6619875" cy="952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9525">
                              <a:moveTo>
                                <a:pt x="66198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o:spt="100" style="position:absolute;left:0pt;margin-left:37.45pt;margin-top:7.05pt;height:0.75pt;width:521.25pt;mso-position-horizontal-relative:page;mso-wrap-distance-bottom:0pt;mso-wrap-distance-top:0pt;z-index:-15728640;mso-width-relative:page;mso-height-relative:page;" fillcolor="#EDEDED" filled="t" stroked="f" coordsize="6619875,9525" o:gfxdata="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xcZBvYAAAACQEAAA8AAAAAAAAAAQAgAAAA&#10;IgAAAGRycy9kb3ducmV2LnhtbFBLAQIUABQAAAAIAIdO4kBihW5UCwIAAJMEAAAOAAAAAAAAAAEA&#10;IAAAACcBAABkcnMvZTJvRG9jLnhtbFBLBQYAAAAABgAGAFkBAACkBQAAAAA=&#10;" path="m6619874,9524l0,9524,0,0,6619874,0,6619874,9524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 w:line="690" w:lineRule="exact"/>
        <w:ind w:right="0"/>
        <w:jc w:val="left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28"/>
          <w:szCs w:val="28"/>
          <w:lang w:val="en-US" w:eastAsia="en-US" w:bidi="ar-SA"/>
        </w:rPr>
        <w:t>Conference: IEEE Journal of Solid-State Circuits, January 2024</w:t>
      </w:r>
    </w:p>
    <w:p>
      <w:pPr>
        <w:pStyle w:val="2"/>
        <w:spacing w:before="425"/>
        <w:ind w:left="0" w:leftChars="0" w:firstLine="0" w:firstLineChars="0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Summary</w:t>
      </w:r>
    </w:p>
    <w:p>
      <w:pPr>
        <w:pStyle w:val="4"/>
        <w:spacing w:before="413" w:line="218" w:lineRule="auto"/>
        <w:ind w:left="41"/>
        <w:rPr>
          <w:color w:val="333333"/>
          <w:w w:val="90"/>
          <w:sz w:val="28"/>
          <w:szCs w:val="28"/>
        </w:rPr>
      </w:pPr>
      <w:r>
        <w:rPr>
          <w:color w:val="333333"/>
          <w:w w:val="90"/>
          <w:sz w:val="28"/>
          <w:szCs w:val="28"/>
        </w:rPr>
        <w:t>This paper presents a digital computing-in-memory (CIM) accelerator tailored for multimodal Transformers, focusing on exploiting data sparsity to improve energy</w:t>
      </w:r>
      <w:r>
        <w:rPr>
          <w:rFonts w:hint="eastAsia" w:eastAsia="宋体"/>
          <w:color w:val="333333"/>
          <w:w w:val="90"/>
          <w:sz w:val="28"/>
          <w:szCs w:val="28"/>
          <w:lang w:val="en-US" w:eastAsia="zh-CN"/>
        </w:rPr>
        <w:t xml:space="preserve"> </w:t>
      </w:r>
      <w:r>
        <w:rPr>
          <w:color w:val="333333"/>
          <w:w w:val="90"/>
          <w:sz w:val="28"/>
          <w:szCs w:val="28"/>
        </w:rPr>
        <w:t>eﬃciency. The main contributions include:</w:t>
      </w:r>
    </w:p>
    <w:p>
      <w:pPr>
        <w:pStyle w:val="8"/>
        <w:numPr>
          <w:ilvl w:val="0"/>
          <w:numId w:val="1"/>
        </w:numPr>
        <w:tabs>
          <w:tab w:val="left" w:pos="639"/>
          <w:tab w:val="left" w:pos="641"/>
        </w:tabs>
        <w:spacing w:before="226" w:after="0" w:line="225" w:lineRule="auto"/>
        <w:ind w:left="641" w:right="63" w:hanging="286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Arial" w:hAnsi="Arial"/>
          <w:b/>
          <w:color w:val="333333"/>
          <w:w w:val="85"/>
          <w:sz w:val="32"/>
        </w:rPr>
        <w:t>LRES (Long Reuse Elimination Scheduler)</w:t>
      </w:r>
      <w:r>
        <w:rPr>
          <w:color w:val="333333"/>
          <w:w w:val="85"/>
          <w:sz w:val="32"/>
        </w:rPr>
        <w:t xml:space="preserve">: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Reshapes the attention matrix into global + local patterns to retain frequently accessed data in the CIM buﬀer, improving CIM utilization in StageD.</w:t>
      </w:r>
    </w:p>
    <w:p>
      <w:pPr>
        <w:pStyle w:val="4"/>
        <w:spacing w:before="32"/>
        <w:rPr>
          <w:sz w:val="27"/>
        </w:rPr>
      </w:pPr>
    </w:p>
    <w:p>
      <w:pPr>
        <w:pStyle w:val="8"/>
        <w:numPr>
          <w:ilvl w:val="0"/>
          <w:numId w:val="1"/>
        </w:numPr>
        <w:tabs>
          <w:tab w:val="left" w:pos="639"/>
          <w:tab w:val="left" w:pos="641"/>
        </w:tabs>
        <w:spacing w:before="0" w:after="0" w:line="285" w:lineRule="auto"/>
        <w:ind w:left="641" w:right="156" w:hanging="286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Arial"/>
          <w:b/>
          <w:color w:val="333333"/>
          <w:spacing w:val="-2"/>
          <w:w w:val="90"/>
          <w:sz w:val="32"/>
        </w:rPr>
        <w:t>RTP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(Runtime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Token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Pruner)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&amp;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MACN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(Modal-Adaptive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CIM</w:t>
      </w:r>
      <w:r>
        <w:rPr>
          <w:rFonts w:ascii="Arial"/>
          <w:b/>
          <w:color w:val="333333"/>
          <w:spacing w:val="-19"/>
          <w:w w:val="90"/>
          <w:sz w:val="32"/>
        </w:rPr>
        <w:t xml:space="preserve"> </w:t>
      </w:r>
      <w:r>
        <w:rPr>
          <w:rFonts w:ascii="Arial"/>
          <w:b/>
          <w:color w:val="333333"/>
          <w:spacing w:val="-2"/>
          <w:w w:val="90"/>
          <w:sz w:val="32"/>
        </w:rPr>
        <w:t>Network)</w:t>
      </w:r>
      <w:r>
        <w:rPr>
          <w:color w:val="333333"/>
          <w:spacing w:val="-2"/>
          <w:w w:val="90"/>
          <w:sz w:val="32"/>
        </w:rPr>
        <w:t xml:space="preserve">: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Prunes unimportant tokens in advance and leverages MACN to divide CIM into StageS and StageD. It performs pipeline scheduling by exploiting symmetrical computation overlap between modalities, reducing CIM idleness.</w:t>
      </w:r>
    </w:p>
    <w:p>
      <w:pPr>
        <w:pStyle w:val="8"/>
        <w:numPr>
          <w:ilvl w:val="0"/>
          <w:numId w:val="1"/>
        </w:numPr>
        <w:tabs>
          <w:tab w:val="left" w:pos="639"/>
          <w:tab w:val="left" w:pos="641"/>
        </w:tabs>
        <w:spacing w:before="282" w:after="0" w:line="225" w:lineRule="auto"/>
        <w:ind w:left="641" w:right="797" w:hanging="286"/>
        <w:jc w:val="left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Arial" w:hAnsi="Arial"/>
          <w:b/>
          <w:color w:val="333333"/>
          <w:spacing w:val="-2"/>
          <w:w w:val="90"/>
          <w:sz w:val="32"/>
        </w:rPr>
        <w:t>EBB-CIM</w:t>
      </w:r>
      <w:r>
        <w:rPr>
          <w:rFonts w:ascii="Arial" w:hAnsi="Arial"/>
          <w:b/>
          <w:color w:val="333333"/>
          <w:spacing w:val="-13"/>
          <w:w w:val="90"/>
          <w:sz w:val="32"/>
        </w:rPr>
        <w:t xml:space="preserve"> </w:t>
      </w:r>
      <w:r>
        <w:rPr>
          <w:rFonts w:ascii="Arial" w:hAnsi="Arial"/>
          <w:b/>
          <w:color w:val="333333"/>
          <w:spacing w:val="-2"/>
          <w:w w:val="90"/>
          <w:sz w:val="32"/>
        </w:rPr>
        <w:t>(E</w:t>
      </w:r>
      <w:r>
        <w:rPr>
          <w:rFonts w:ascii="Arial" w:hAnsi="Arial"/>
          <w:b/>
          <w:color w:val="333333"/>
          <w:spacing w:val="-2"/>
          <w:w w:val="90"/>
          <w:sz w:val="30"/>
        </w:rPr>
        <w:t>ﬀ</w:t>
      </w:r>
      <w:r>
        <w:rPr>
          <w:rFonts w:ascii="Arial" w:hAnsi="Arial"/>
          <w:b/>
          <w:color w:val="333333"/>
          <w:spacing w:val="-2"/>
          <w:w w:val="90"/>
          <w:sz w:val="32"/>
        </w:rPr>
        <w:t>ective-Bit</w:t>
      </w:r>
      <w:r>
        <w:rPr>
          <w:rFonts w:ascii="Arial" w:hAnsi="Arial"/>
          <w:b/>
          <w:color w:val="333333"/>
          <w:spacing w:val="-13"/>
          <w:w w:val="90"/>
          <w:sz w:val="32"/>
        </w:rPr>
        <w:t xml:space="preserve"> </w:t>
      </w:r>
      <w:r>
        <w:rPr>
          <w:rFonts w:ascii="Arial" w:hAnsi="Arial"/>
          <w:b/>
          <w:color w:val="333333"/>
          <w:spacing w:val="-2"/>
          <w:w w:val="90"/>
          <w:sz w:val="32"/>
        </w:rPr>
        <w:t>Balanced</w:t>
      </w:r>
      <w:r>
        <w:rPr>
          <w:rFonts w:ascii="Arial" w:hAnsi="Arial"/>
          <w:b/>
          <w:color w:val="333333"/>
          <w:spacing w:val="-13"/>
          <w:w w:val="90"/>
          <w:sz w:val="32"/>
        </w:rPr>
        <w:t xml:space="preserve"> </w:t>
      </w:r>
      <w:r>
        <w:rPr>
          <w:rFonts w:ascii="Arial" w:hAnsi="Arial"/>
          <w:b/>
          <w:color w:val="333333"/>
          <w:spacing w:val="-2"/>
          <w:w w:val="90"/>
          <w:sz w:val="32"/>
        </w:rPr>
        <w:t>CIM)</w:t>
      </w:r>
      <w:r>
        <w:rPr>
          <w:color w:val="333333"/>
          <w:spacing w:val="-2"/>
          <w:w w:val="90"/>
          <w:sz w:val="32"/>
        </w:rPr>
        <w:t>:</w:t>
      </w:r>
      <w:r>
        <w:rPr>
          <w:color w:val="333333"/>
          <w:spacing w:val="-11"/>
          <w:w w:val="90"/>
          <w:sz w:val="32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Performs bit-level analysis and balances bit usage to mitigate resource waste due to uneven eﬀective bit widths, thereby reducing computation latency.</w:t>
      </w:r>
    </w:p>
    <w:p>
      <w:pPr>
        <w:pStyle w:val="4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204470</wp:posOffset>
                </wp:positionV>
                <wp:extent cx="6619875" cy="1905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37.45pt;margin-top:16.1pt;height:1.5pt;width:521.25pt;mso-position-horizontal-relative:page;mso-wrap-distance-bottom:0pt;mso-wrap-distance-top:0pt;z-index:-15726592;mso-width-relative:page;mso-height-relative:page;" fillcolor="#333333" filled="t" stroked="f" coordsize="6619875,19050" o:gfxdata="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EqDHtgAAAAJAQAADwAAAAAAAAABACAAAAAi&#10;AAAAZHJzL2Rvd25yZXYueG1sUEsBAhQAFAAAAAgAh07iQAHtxAYKAgAAmAQAAA4AAAAAAAAAAQAg&#10;AAAAJwEAAGRycy9lMm9Eb2MueG1sUEsFBgAAAAAGAAYAWQEAAKMFAAAAAA==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4"/>
        <w:spacing w:before="134"/>
        <w:rPr>
          <w:sz w:val="27"/>
        </w:rPr>
      </w:pPr>
    </w:p>
    <w:p>
      <w:pPr>
        <w:pStyle w:val="2"/>
        <w:spacing w:before="425"/>
        <w:ind w:left="0" w:leftChars="0" w:firstLine="0" w:firstLineChars="0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Strengths</w:t>
      </w:r>
    </w:p>
    <w:p>
      <w:pPr>
        <w:pStyle w:val="4"/>
        <w:spacing w:before="103"/>
        <w:rPr>
          <w:rFonts w:ascii="Arial"/>
          <w:b/>
          <w:sz w:val="27"/>
        </w:rPr>
      </w:pPr>
    </w:p>
    <w:p>
      <w:pPr>
        <w:pStyle w:val="4"/>
        <w:tabs>
          <w:tab w:val="left" w:pos="641"/>
        </w:tabs>
        <w:spacing w:line="218" w:lineRule="auto"/>
        <w:ind w:left="641" w:right="223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three architectural designs―LRES, RTP+MACN, and EBB-CIM―eﬀectively target real-world circuit bottlenecks. The system captures sparsity at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attention, token, and bit levels throughout the QKV computation of Transformer models.</w:t>
      </w:r>
    </w:p>
    <w:p>
      <w:pPr>
        <w:pStyle w:val="4"/>
        <w:tabs>
          <w:tab w:val="left" w:pos="641"/>
        </w:tabs>
        <w:spacing w:line="218" w:lineRule="auto"/>
        <w:ind w:left="641" w:right="223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paper includes a comprehensive pipeline from problem identiﬁcation to hardware validation, with convincing experimental results based on a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fabricated chip.</w:t>
      </w:r>
    </w:p>
    <w:p>
      <w:pPr>
        <w:pStyle w:val="4"/>
        <w:tabs>
          <w:tab w:val="left" w:pos="641"/>
        </w:tabs>
        <w:spacing w:before="298" w:line="211" w:lineRule="auto"/>
        <w:ind w:left="641" w:right="909" w:hanging="315"/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topic is timely and aligned with current trends in energy-eﬃcient AI</w:t>
      </w:r>
      <w:r>
        <w:rPr>
          <w:rFonts w:hint="eastAsia"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accelerators for large-scale multimodal models.</w:t>
      </w:r>
    </w:p>
    <w:p>
      <w:pPr>
        <w:pStyle w:val="4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219710</wp:posOffset>
                </wp:positionV>
                <wp:extent cx="6619875" cy="1905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37.45pt;margin-top:17.3pt;height:1.5pt;width:521.25pt;mso-position-horizontal-relative:page;mso-wrap-distance-bottom:0pt;mso-wrap-distance-top:0pt;z-index:-15726592;mso-width-relative:page;mso-height-relative:page;" fillcolor="#333333" filled="t" stroked="f" coordsize="6619875,19050" o:gfxdata="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HZ6bI1wAAAAkBAAAPAAAAAAAAAAEAIAAAACIA&#10;AABkcnMvZG93bnJldi54bWxQSwECFAAUAAAACACHTuJAF6I0GAoCAACYBAAADgAAAAAAAAABACAA&#10;AAAmAQAAZHJzL2Uyb0RvYy54bWxQSwUGAAAAAAYABgBZAQAAogUAAAAA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spacing w:before="425"/>
        <w:ind w:left="0" w:leftChars="0" w:firstLine="0" w:firstLineChars="0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Weaknesses</w:t>
      </w:r>
    </w:p>
    <w:p>
      <w:pPr>
        <w:pStyle w:val="4"/>
        <w:spacing w:before="137"/>
        <w:rPr>
          <w:rFonts w:ascii="Arial"/>
          <w:b/>
          <w:sz w:val="27"/>
        </w:rPr>
      </w:pPr>
    </w:p>
    <w:p>
      <w:pPr>
        <w:pStyle w:val="4"/>
        <w:spacing w:line="494" w:lineRule="exact"/>
        <w:ind w:left="641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9525" b="1016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experiments are primarily based on the ViLBERT model. The applicability of the architecture to larger-scale multimodal models (e.g., Flamingo) is not</w:t>
      </w:r>
      <w:r>
        <w:rPr>
          <w:rFonts w:hint="eastAsia"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thoroughly discussed, which aﬀects the generality of the results.</w:t>
      </w:r>
    </w:p>
    <w:p>
      <w:pPr>
        <w:pStyle w:val="4"/>
        <w:tabs>
          <w:tab w:val="left" w:pos="641"/>
        </w:tabs>
        <w:spacing w:before="228" w:line="283" w:lineRule="auto"/>
        <w:ind w:left="581" w:leftChars="202" w:right="291" w:hanging="137" w:hangingChars="43"/>
      </w:pPr>
      <w:r>
        <w:rPr>
          <w:rFonts w:hint="eastAsia" w:eastAsia="宋体"/>
          <w:position w:val="6"/>
          <w:lang w:val="en-US" w:eastAsia="zh-CN"/>
        </w:rPr>
        <w:t xml:space="preserve">  </w:t>
      </w:r>
      <w:r>
        <w:rPr>
          <w:position w:val="6"/>
        </w:rPr>
        <w:drawing>
          <wp:inline distT="0" distB="0" distL="0" distR="0">
            <wp:extent cx="66675" cy="66040"/>
            <wp:effectExtent l="0" t="0" r="9525" b="1016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The paper lacks quantitative analysis of the pre-processing cost associated with handling sparsity. The energy or latency overhead for sparsity detection is not explicitly addressed.</w:t>
      </w:r>
    </w:p>
    <w:p>
      <w:pPr>
        <w:pStyle w:val="4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173355</wp:posOffset>
                </wp:positionV>
                <wp:extent cx="6619875" cy="1905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37.45pt;margin-top:13.65pt;height:1.5pt;width:521.25pt;mso-position-horizontal-relative:page;mso-wrap-distance-bottom:0pt;mso-wrap-distance-top:0pt;z-index:-15725568;mso-width-relative:page;mso-height-relative:page;" fillcolor="#333333" filled="t" stroked="f" coordsize="6619875,19050" o:gfxdata="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AGqvrXAAAACQEAAA8AAAAAAAAAAQAgAAAA&#10;IgAAAGRycy9kb3ducmV2LnhtbFBLAQIUABQAAAAIAIdO4kBDxFjeDAIAAJgEAAAOAAAAAAAAAAEA&#10;IAAAACYBAABkcnMvZTJvRG9jLnhtbFBLBQYAAAAABgAGAFkBAACkBQAAAAA=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spacing w:before="425"/>
        <w:ind w:left="0" w:leftChars="0" w:firstLine="0" w:firstLineChars="0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Suggestions for Improvement</w:t>
      </w:r>
    </w:p>
    <w:p>
      <w:pPr>
        <w:pStyle w:val="4"/>
        <w:spacing w:before="159"/>
        <w:rPr>
          <w:rFonts w:ascii="Arial"/>
          <w:b/>
          <w:sz w:val="27"/>
        </w:rPr>
      </w:pPr>
    </w:p>
    <w:p>
      <w:pPr>
        <w:pStyle w:val="4"/>
        <w:tabs>
          <w:tab w:val="left" w:pos="641"/>
        </w:tabs>
        <w:spacing w:line="288" w:lineRule="auto"/>
        <w:ind w:left="641" w:right="1314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Expand the experimental scope to include more modern and diverse multimodal models with varying sparsity patterns.</w:t>
      </w:r>
    </w:p>
    <w:p>
      <w:pPr>
        <w:pStyle w:val="4"/>
        <w:tabs>
          <w:tab w:val="left" w:pos="641"/>
        </w:tabs>
        <w:spacing w:line="288" w:lineRule="auto"/>
        <w:ind w:left="641" w:right="1314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position w:val="6"/>
        </w:rPr>
        <w:drawing>
          <wp:inline distT="0" distB="0" distL="0" distR="0">
            <wp:extent cx="66675" cy="6604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Provide additional analysis on the overhead introduced by sparsity detection and handling mechanisms, especially energy and latency impact.</w:t>
      </w:r>
    </w:p>
    <w:p>
      <w:pPr>
        <w:pStyle w:val="4"/>
        <w:tabs>
          <w:tab w:val="left" w:pos="641"/>
        </w:tabs>
        <w:spacing w:line="288" w:lineRule="auto"/>
        <w:ind w:left="641" w:right="1314" w:hanging="315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drawing>
          <wp:inline distT="0" distB="0" distL="0" distR="0">
            <wp:extent cx="66675" cy="6604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ab/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Since all sparsity handling is done at the hardware level, consider exploring compiler-hardware interface design to allow software-level sparsity scheduling and metadata injection.</w:t>
      </w:r>
    </w:p>
    <w:p>
      <w:pPr>
        <w:pStyle w:val="4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159385</wp:posOffset>
                </wp:positionV>
                <wp:extent cx="6619875" cy="1905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19050">
                              <a:moveTo>
                                <a:pt x="66198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619874" y="0"/>
                              </a:lnTo>
                              <a:lnTo>
                                <a:pt x="66198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37.45pt;margin-top:12.55pt;height:1.5pt;width:521.25pt;mso-position-horizontal-relative:page;mso-wrap-distance-bottom:0pt;mso-wrap-distance-top:0pt;z-index:-15725568;mso-width-relative:page;mso-height-relative:page;" fillcolor="#333333" filled="t" stroked="f" coordsize="6619875,19050" o:gfxdata="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gO6W1wAAAAkBAAAPAAAAAAAAAAEAIAAAACIA&#10;AABkcnMvZG93bnJldi54bWxQSwECFAAUAAAACACHTuJAg29KPAoCAACYBAAADgAAAAAAAAABACAA&#10;AAAmAQAAZHJzL2Uyb0RvYy54bWxQSwUGAAAAAAYABgBZAQAAogUAAAAA&#10;" path="m6619874,19049l0,19049,0,0,6619874,0,6619874,19049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2"/>
        <w:spacing w:before="425"/>
        <w:ind w:left="0" w:leftChars="0" w:firstLine="0" w:firstLineChars="0"/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</w:pPr>
      <w:r>
        <w:rPr>
          <w:rFonts w:ascii="Arial" w:hAnsi="Microsoft Sans Serif" w:eastAsia="Microsoft Sans Serif" w:cs="Microsoft Sans Serif"/>
          <w:b/>
          <w:color w:val="333333"/>
          <w:spacing w:val="-4"/>
          <w:w w:val="95"/>
          <w:sz w:val="32"/>
          <w:szCs w:val="32"/>
          <w:lang w:val="en-US" w:eastAsia="en-US" w:bidi="ar-SA"/>
        </w:rPr>
        <w:t>Overall Evaluation</w:t>
      </w:r>
    </w:p>
    <w:p>
      <w:pPr>
        <w:pStyle w:val="4"/>
        <w:tabs>
          <w:tab w:val="left" w:pos="641"/>
        </w:tabs>
        <w:spacing w:line="288" w:lineRule="auto"/>
        <w:ind w:left="746" w:leftChars="339" w:right="1314" w:firstLine="141" w:firstLineChars="56"/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</w:pP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This paper proposes a Transformer accelerator that exploits sparsity at multiple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levels (attention, token, bit) with architectural innovations that are both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practical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and novel. It provides suﬃcient experimental validation and holds strong</w:t>
      </w:r>
      <w:r>
        <w:rPr>
          <w:rFonts w:hint="eastAsia" w:eastAsia="宋体" w:cs="Microsoft Sans Serif"/>
          <w:color w:val="333333"/>
          <w:w w:val="90"/>
          <w:sz w:val="28"/>
          <w:szCs w:val="28"/>
          <w:lang w:val="en-US" w:eastAsia="zh-CN" w:bidi="ar-SA"/>
        </w:rPr>
        <w:t xml:space="preserve"> </w:t>
      </w:r>
      <w:r>
        <w:rPr>
          <w:rFonts w:ascii="Microsoft Sans Serif" w:hAnsi="Microsoft Sans Serif" w:eastAsia="Microsoft Sans Serif" w:cs="Microsoft Sans Serif"/>
          <w:color w:val="333333"/>
          <w:w w:val="90"/>
          <w:sz w:val="28"/>
          <w:szCs w:val="28"/>
          <w:lang w:val="en-US" w:eastAsia="en-US" w:bidi="ar-SA"/>
        </w:rPr>
        <w:t>publication value.</w:t>
      </w:r>
    </w:p>
    <w:p>
      <w:pPr>
        <w:spacing w:before="24" w:line="180" w:lineRule="auto"/>
        <w:ind w:left="41" w:right="468" w:firstLine="0"/>
        <w:jc w:val="left"/>
        <w:rPr>
          <w:rFonts w:ascii="宋体" w:eastAsia="宋体"/>
          <w:sz w:val="30"/>
        </w:rPr>
      </w:pPr>
      <w:bookmarkStart w:id="0" w:name="_GoBack"/>
      <w:bookmarkEnd w:id="0"/>
    </w:p>
    <w:sectPr>
      <w:pgSz w:w="11920" w:h="16860"/>
      <w:pgMar w:top="360" w:right="708" w:bottom="280" w:left="70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642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33333"/>
        <w:spacing w:val="0"/>
        <w:w w:val="84"/>
        <w:sz w:val="32"/>
        <w:szCs w:val="3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6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12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98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84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1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57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43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2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00000"/>
    <w:rsid w:val="273E0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40"/>
      <w:ind w:left="41"/>
      <w:outlineLvl w:val="1"/>
    </w:pPr>
    <w:rPr>
      <w:rFonts w:ascii="Arial" w:hAnsi="Arial" w:eastAsia="Arial" w:cs="Arial"/>
      <w:b/>
      <w:bCs/>
      <w:sz w:val="57"/>
      <w:szCs w:val="57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255"/>
      <w:ind w:left="41"/>
      <w:outlineLvl w:val="2"/>
    </w:pPr>
    <w:rPr>
      <w:rFonts w:ascii="Microsoft JhengHei" w:hAnsi="Microsoft JhengHei" w:eastAsia="Microsoft JhengHei" w:cs="Microsoft JhengHei"/>
      <w:b/>
      <w:bCs/>
      <w:sz w:val="53"/>
      <w:szCs w:val="53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32"/>
      <w:szCs w:val="32"/>
      <w:lang w:val="en-US" w:eastAsia="en-US" w:bidi="ar-SA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41" w:right="35" w:hanging="286"/>
    </w:pPr>
    <w:rPr>
      <w:rFonts w:ascii="Microsoft Sans Serif" w:hAnsi="Microsoft Sans Serif" w:eastAsia="Microsoft Sans Serif" w:cs="Microsoft Sans Serif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2025-05-25T02:19:00Z</dcterms:created>
  <dc:creator>Jhong</dc:creator>
  <cp:lastModifiedBy>Jhong</cp:lastModifiedBy>
  <dcterms:modified xsi:type="dcterms:W3CDTF">2025-05-25T02:26:39Z</dcterms:modified>
  <dc:title>MulTCIM-review.md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Mozilla/5.0 (Windows NT 10.0; Win64; x64) AppleWebKit/537.36 (KHTML, like Gecko) HeadlessChrome/136.0.0.0 Safari/537.36 Edg/136.0.0.0</vt:lpwstr>
  </property>
  <property fmtid="{D5CDD505-2E9C-101B-9397-08002B2CF9AE}" pid="4" name="LastSaved">
    <vt:filetime>2025-05-25T00:00:00Z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2052-11.8.2.8411</vt:lpwstr>
  </property>
</Properties>
</file>